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DFF81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403"/>
        <w:gridCol w:w="283"/>
        <w:gridCol w:w="127"/>
        <w:gridCol w:w="440"/>
        <w:gridCol w:w="146"/>
        <w:gridCol w:w="707"/>
        <w:gridCol w:w="115"/>
        <w:gridCol w:w="537"/>
        <w:gridCol w:w="340"/>
        <w:gridCol w:w="220"/>
        <w:gridCol w:w="1337"/>
      </w:tblGrid>
      <w:tr w14:paraId="1542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444" w:type="dxa"/>
            <w:gridSpan w:val="3"/>
            <w:vAlign w:val="center"/>
          </w:tcPr>
          <w:p w14:paraId="478FB28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6111C1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地下车库成充电桩“禁区”</w:t>
            </w:r>
          </w:p>
          <w:p w14:paraId="6EC0ED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安全与需求能否兼容</w:t>
            </w:r>
          </w:p>
        </w:tc>
        <w:tc>
          <w:tcPr>
            <w:tcW w:w="2221" w:type="dxa"/>
            <w:gridSpan w:val="7"/>
            <w:vAlign w:val="center"/>
          </w:tcPr>
          <w:p w14:paraId="5D297B7C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  <w:p w14:paraId="7A7204A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434" w:type="dxa"/>
            <w:gridSpan w:val="4"/>
            <w:vAlign w:val="center"/>
          </w:tcPr>
          <w:p w14:paraId="032A9F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舆论监督报道（报刊）</w:t>
            </w:r>
          </w:p>
        </w:tc>
      </w:tr>
      <w:tr w14:paraId="5469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44" w:type="dxa"/>
            <w:gridSpan w:val="3"/>
            <w:vAlign w:val="center"/>
          </w:tcPr>
          <w:p w14:paraId="3FF5D95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559F53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华文中宋" w:hAnsi="华文中宋" w:eastAsia="华文中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1814字</w:t>
            </w:r>
          </w:p>
        </w:tc>
        <w:tc>
          <w:tcPr>
            <w:tcW w:w="1253" w:type="dxa"/>
            <w:gridSpan w:val="4"/>
            <w:vAlign w:val="center"/>
          </w:tcPr>
          <w:p w14:paraId="5C598D0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728431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仿宋_GB2312" w:hAnsi="仿宋" w:eastAsia="仿宋_GB2312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通讯</w:t>
            </w:r>
          </w:p>
        </w:tc>
      </w:tr>
      <w:tr w14:paraId="6036A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444" w:type="dxa"/>
            <w:gridSpan w:val="3"/>
            <w:vAlign w:val="center"/>
          </w:tcPr>
          <w:p w14:paraId="6F243A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5BE6C94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3FC385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华文中宋" w:eastAsia="仿宋_GB2312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朱烈闯</w:t>
            </w:r>
          </w:p>
        </w:tc>
        <w:tc>
          <w:tcPr>
            <w:tcW w:w="996" w:type="dxa"/>
            <w:gridSpan w:val="4"/>
            <w:vAlign w:val="center"/>
          </w:tcPr>
          <w:p w14:paraId="4AEC072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5BDA49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仿宋" w:hAnsi="仿宋" w:eastAsia="仿宋" w:cs="Times New Roman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熊良华、邹志兵</w:t>
            </w:r>
          </w:p>
        </w:tc>
      </w:tr>
      <w:tr w14:paraId="447F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444" w:type="dxa"/>
            <w:gridSpan w:val="3"/>
            <w:vAlign w:val="center"/>
          </w:tcPr>
          <w:p w14:paraId="2C79F53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5DC188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鹰潭市融媒体中心</w:t>
            </w:r>
          </w:p>
        </w:tc>
        <w:tc>
          <w:tcPr>
            <w:tcW w:w="3076" w:type="dxa"/>
            <w:gridSpan w:val="10"/>
            <w:vAlign w:val="center"/>
          </w:tcPr>
          <w:p w14:paraId="1DA6764D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发布端/账号/媒体名称</w:t>
            </w:r>
          </w:p>
        </w:tc>
        <w:tc>
          <w:tcPr>
            <w:tcW w:w="2434" w:type="dxa"/>
            <w:gridSpan w:val="4"/>
            <w:vAlign w:val="center"/>
          </w:tcPr>
          <w:p w14:paraId="161526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鹰潭日报</w:t>
            </w:r>
          </w:p>
        </w:tc>
      </w:tr>
      <w:tr w14:paraId="75413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268" w:type="dxa"/>
            <w:gridSpan w:val="6"/>
            <w:vAlign w:val="center"/>
          </w:tcPr>
          <w:p w14:paraId="7546E08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3B213B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二版</w:t>
            </w:r>
          </w:p>
        </w:tc>
        <w:tc>
          <w:tcPr>
            <w:tcW w:w="1359" w:type="dxa"/>
            <w:gridSpan w:val="3"/>
            <w:vAlign w:val="center"/>
          </w:tcPr>
          <w:p w14:paraId="04FADCA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897" w:type="dxa"/>
            <w:gridSpan w:val="3"/>
            <w:vAlign w:val="center"/>
          </w:tcPr>
          <w:p w14:paraId="26F08C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2025年6月12日</w:t>
            </w:r>
          </w:p>
        </w:tc>
      </w:tr>
      <w:tr w14:paraId="478A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1444" w:type="dxa"/>
            <w:gridSpan w:val="3"/>
            <w:vAlign w:val="center"/>
          </w:tcPr>
          <w:p w14:paraId="6D8AEC4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345" w:type="dxa"/>
            <w:gridSpan w:val="12"/>
            <w:vAlign w:val="center"/>
          </w:tcPr>
          <w:p w14:paraId="059685E2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2505" w:type="dxa"/>
            <w:gridSpan w:val="7"/>
            <w:vAlign w:val="center"/>
          </w:tcPr>
          <w:p w14:paraId="7A9AE3C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1337" w:type="dxa"/>
            <w:vAlign w:val="center"/>
          </w:tcPr>
          <w:p w14:paraId="232117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否</w:t>
            </w:r>
          </w:p>
        </w:tc>
      </w:tr>
      <w:tr w14:paraId="17DD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989" w:type="dxa"/>
            <w:gridSpan w:val="2"/>
            <w:vAlign w:val="center"/>
          </w:tcPr>
          <w:p w14:paraId="62F2972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0F9D810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286B6C1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3C1E8E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7B5E6C3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7069A04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21DC34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default" w:ascii="仿宋" w:hAnsi="仿宋" w:eastAsia="仿宋" w:cs="Times New Roman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选题精准：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紧扣新能源汽车普及背景下“充电难”这一热点，聚焦“地下车库禁装充电桩”这一具体矛盾。调查扎实：多方采访，呈现了居民诉求、物业无奈、政策执行矛盾等多方声音，体现了客观性；通过对比地区政策执行的差异，增强了报道的说服力；引用供电公司承诺书、相关部门回复，使报道具有事实厚度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语言平实有力：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报道从现象描述入手，逐步深入到政策冲突、权责博弈，最后从“记者手记”提升至治理思维的反思，层层推进。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展现担当：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结尾部分将问题从具体事件上升到“安全与发展”“管控与服务”的治理层面，呼吁从“不能装”转向“如何安全装”，体现了媒体的建设性视角，诠释了“围绕民生、扎根现场、促进善治”的媒体担当。</w:t>
            </w:r>
          </w:p>
        </w:tc>
      </w:tr>
      <w:tr w14:paraId="2023A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exact"/>
          <w:jc w:val="center"/>
        </w:trPr>
        <w:tc>
          <w:tcPr>
            <w:tcW w:w="989" w:type="dxa"/>
            <w:gridSpan w:val="2"/>
            <w:vAlign w:val="center"/>
          </w:tcPr>
          <w:p w14:paraId="2A4F3D2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3CE8BA2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473A7FF3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2A4B6AF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1CC4B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直接推动问题解决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：稿件刊发后，推动住建、消防、供电等部门召开专题协调会，破解新能源车主“有车无桩”的充电焦虑。如今，余江区已解决相关问题，补齐绿色出行配套短板，增强了人民群众的获得感与幸福感。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破除行政堵点，促进政策落地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：促使相关职能部门正视问题、转变理念。实现安全与民生良性互动，为同类城市破解“有车无桩”难题提供了可借鉴的破题思路。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凝聚社会共识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：促使各方寻求动态平衡点，实现了舆论监督推动社会治理进步的深层价值。</w:t>
            </w:r>
          </w:p>
          <w:p w14:paraId="3392C1DA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/>
              </w:rPr>
            </w:pPr>
          </w:p>
        </w:tc>
      </w:tr>
      <w:tr w14:paraId="14D4F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4CB43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C968609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5A0BFB1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12E6BA87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FC6B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新媒体传播平台网址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23F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C5BA7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25D3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B0500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B9D34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AA35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82296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</w:t>
            </w:r>
          </w:p>
        </w:tc>
      </w:tr>
      <w:tr w14:paraId="043A3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E2C12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D7113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7CB2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89A0A"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4C0B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FC8DF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9FE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C5A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E8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转载量</w:t>
            </w:r>
          </w:p>
        </w:tc>
        <w:tc>
          <w:tcPr>
            <w:tcW w:w="1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BC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9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86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91DE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31BD3A92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67BD51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该作品锚定民生痛点，精准揭示了“以禁代管”的治理惰性，推动多部门联动，打通政策落地堵点，其价值不仅在于反映问题，更在于为“安全”与“发展”的平衡提供了思考框架，体现了媒体的社会责任与公共价值。</w:t>
            </w:r>
          </w:p>
          <w:p w14:paraId="0977F7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 w14:paraId="55C260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080" w:firstLineChars="10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单位主要负责人签名：                    （盖单位公章）</w:t>
            </w:r>
          </w:p>
          <w:p w14:paraId="1CF6F4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16" w:firstLineChars="200"/>
              <w:jc w:val="both"/>
              <w:textAlignment w:val="auto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     2026 年1月 5日</w:t>
            </w:r>
          </w:p>
        </w:tc>
      </w:tr>
      <w:tr w14:paraId="32722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762B3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4E2A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朱烈闯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7FC4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71BCB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18720006993</w:t>
            </w:r>
          </w:p>
        </w:tc>
      </w:tr>
    </w:tbl>
    <w:p w14:paraId="3ADC3718">
      <w:pPr>
        <w:spacing w:line="240" w:lineRule="auto"/>
        <w:jc w:val="both"/>
        <w:rPr>
          <w:rFonts w:hint="eastAsia" w:ascii="仿宋" w:hAnsi="仿宋" w:eastAsia="仿宋"/>
          <w:lang w:val="en-US" w:eastAsia="zh-CN"/>
        </w:rPr>
      </w:pPr>
    </w:p>
    <w:p w14:paraId="4C2F2870">
      <w:pPr>
        <w:spacing w:line="240" w:lineRule="auto"/>
        <w:jc w:val="both"/>
        <w:rPr>
          <w:rFonts w:hint="eastAsia" w:ascii="仿宋" w:hAnsi="仿宋" w:eastAsia="仿宋"/>
          <w:lang w:val="en-US" w:eastAsia="zh-CN"/>
        </w:rPr>
      </w:pPr>
    </w:p>
    <w:p w14:paraId="37234943">
      <w:pPr>
        <w:spacing w:line="240" w:lineRule="auto"/>
        <w:jc w:val="both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 xml:space="preserve"> </w:t>
      </w:r>
    </w:p>
    <w:p w14:paraId="0A98DFE6">
      <w:pPr>
        <w:spacing w:line="240" w:lineRule="auto"/>
        <w:jc w:val="both"/>
        <w:rPr>
          <w:rFonts w:hint="eastAsia" w:ascii="仿宋" w:hAnsi="仿宋" w:eastAsia="仿宋"/>
          <w:lang w:val="en-US" w:eastAsia="zh-CN"/>
        </w:rPr>
      </w:pPr>
    </w:p>
    <w:p w14:paraId="31065889">
      <w:pPr>
        <w:spacing w:line="240" w:lineRule="auto"/>
        <w:jc w:val="both"/>
        <w:rPr>
          <w:rFonts w:hint="eastAsia" w:ascii="仿宋" w:hAnsi="仿宋" w:eastAsia="仿宋"/>
          <w:lang w:val="en-US" w:eastAsia="zh-CN"/>
        </w:rPr>
      </w:pPr>
    </w:p>
    <w:p w14:paraId="473324B7">
      <w:pPr>
        <w:spacing w:line="240" w:lineRule="auto"/>
        <w:jc w:val="both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drawing>
          <wp:inline distT="0" distB="0" distL="114300" distR="114300">
            <wp:extent cx="5276850" cy="3749675"/>
            <wp:effectExtent l="0" t="0" r="0" b="3175"/>
            <wp:docPr id="1" name="图片 1" descr="微信图片_20260111111951_56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111111951_56_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74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19417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3CC96248">
      <w:pPr>
        <w:spacing w:line="240" w:lineRule="auto"/>
        <w:rPr>
          <w:rFonts w:hint="eastAsia" w:ascii="仿宋" w:hAnsi="仿宋" w:eastAsia="仿宋"/>
          <w:lang w:eastAsia="zh-CN"/>
        </w:rPr>
      </w:pPr>
    </w:p>
    <w:p w14:paraId="2F8CC6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</w:p>
    <w:p w14:paraId="306559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</w:p>
    <w:p w14:paraId="7E92D6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</w:p>
    <w:p w14:paraId="38F786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</w:p>
    <w:p w14:paraId="2C5A31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</w:p>
    <w:p w14:paraId="67A700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</w:p>
    <w:p w14:paraId="0516EB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</w:p>
    <w:p w14:paraId="49D3EC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</w:p>
    <w:p w14:paraId="5800AF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CESI仿宋-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CESI仿宋-GB2312"/>
          <w:sz w:val="28"/>
          <w:szCs w:val="28"/>
          <w:lang w:val="en-US" w:eastAsia="zh-CN"/>
        </w:rPr>
        <w:t>舆论监督报道</w:t>
      </w:r>
    </w:p>
    <w:p w14:paraId="7ED24A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CESI仿宋-GB2312"/>
          <w:sz w:val="28"/>
          <w:szCs w:val="28"/>
          <w:lang w:val="en-US" w:eastAsia="zh-CN"/>
        </w:rPr>
      </w:pPr>
    </w:p>
    <w:p w14:paraId="463F0C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华文细黑"/>
          <w:sz w:val="32"/>
          <w:szCs w:val="32"/>
        </w:rPr>
      </w:pPr>
      <w:r>
        <w:rPr>
          <w:rFonts w:hint="eastAsia" w:ascii="黑体" w:hAnsi="黑体" w:eastAsia="黑体" w:cs="华文细黑"/>
          <w:sz w:val="32"/>
          <w:szCs w:val="32"/>
        </w:rPr>
        <w:t>地下车库成充电桩“禁区” 安全与需求能否兼容</w:t>
      </w:r>
    </w:p>
    <w:p w14:paraId="22914C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CESI仿宋-GB2312"/>
          <w:sz w:val="24"/>
          <w:szCs w:val="24"/>
          <w:lang w:val="en-US" w:eastAsia="zh-CN"/>
        </w:rPr>
      </w:pPr>
      <w:r>
        <w:rPr>
          <w:rFonts w:hint="eastAsia" w:ascii="仿宋" w:hAnsi="仿宋" w:eastAsia="仿宋" w:cs="CESI仿宋-GB2312"/>
          <w:sz w:val="24"/>
          <w:szCs w:val="24"/>
          <w:lang w:val="en-US" w:eastAsia="zh-CN"/>
        </w:rPr>
        <w:t>作者：朱烈闯</w:t>
      </w:r>
    </w:p>
    <w:p w14:paraId="346F64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Times New Roman"/>
          <w:color w:val="000000"/>
          <w:w w:val="100"/>
          <w:sz w:val="24"/>
          <w:szCs w:val="24"/>
          <w:lang w:val="en-US" w:eastAsia="zh-CN"/>
        </w:rPr>
      </w:pPr>
      <w:r>
        <w:rPr>
          <w:rFonts w:hint="eastAsia" w:ascii="仿宋" w:hAnsi="仿宋" w:eastAsia="仿宋" w:cs="CESI仿宋-GB2312"/>
          <w:sz w:val="24"/>
          <w:szCs w:val="24"/>
          <w:lang w:val="en-US" w:eastAsia="zh-CN"/>
        </w:rPr>
        <w:t>编辑：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21"/>
          <w:szCs w:val="21"/>
          <w:lang w:val="en-US" w:eastAsia="zh-CN" w:bidi="ar-SA"/>
        </w:rPr>
        <w:t>熊良华、邹志兵</w:t>
      </w:r>
    </w:p>
    <w:p w14:paraId="1BFB7B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" w:hAnsi="仿宋" w:eastAsia="仿宋" w:cs="Times New Roman"/>
          <w:color w:val="000000"/>
          <w:w w:val="100"/>
          <w:sz w:val="24"/>
          <w:szCs w:val="24"/>
          <w:lang w:val="en-US" w:eastAsia="zh-CN"/>
        </w:rPr>
      </w:pPr>
    </w:p>
    <w:p w14:paraId="45A9B5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新能源汽车凭借环保、经济等优势，越来越受到市民青睐。然而，不少余江区的车主向“问政鹰潭”平台反映，购车后却遭遇了小区地下车位不让安装充电桩，让车主陷入“有车无桩”的尴尬。这背后究竟有着怎样的情况？带着这些疑问，记者展开了调查。</w:t>
      </w:r>
    </w:p>
    <w:p w14:paraId="61AD25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b/>
          <w:bCs/>
          <w:sz w:val="28"/>
          <w:szCs w:val="28"/>
        </w:rPr>
      </w:pPr>
      <w:r>
        <w:rPr>
          <w:rFonts w:hint="eastAsia" w:ascii="仿宋" w:hAnsi="仿宋" w:eastAsia="仿宋" w:cs="CESI仿宋-GB2312"/>
          <w:b/>
          <w:bCs/>
          <w:sz w:val="28"/>
          <w:szCs w:val="28"/>
        </w:rPr>
        <w:t>地下车位近在咫尺，新能源汽车充电桩却遥不可及</w:t>
      </w:r>
    </w:p>
    <w:p w14:paraId="6D977A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随着新能源汽车产业的快速发展，余江区新能源汽车保有量持续增长。然而，5月中旬，记者多次走进余江区主城区内的部分地下停车场，却发现停车位上多为燃油车，整个地下停车场仅有零星几个新能源充电设施。</w:t>
      </w:r>
    </w:p>
    <w:p w14:paraId="7D4BBE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记者随即采访了几位新能源车主，他们告诉记者，地下停车场之所以是这种现象，原因在于相关部门不同意在地下停车场安装新能源汽车充电桩。</w:t>
      </w:r>
    </w:p>
    <w:p w14:paraId="5733EE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采访中，新能源车主们告诉记者，当车主联系小区物业准备安装充电桩时，却被以“存在消防安全隐患，且需多个部门审核批准”为由遭拒。</w:t>
      </w:r>
    </w:p>
    <w:p w14:paraId="4C4664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家住世鑫祥府小区的新能源车主潘先生吐槽：“购车后，我就去小区物业咨询，但物业拒绝盖章同意，理由是上级部门从2024年4月后，以存在消防安全隐患为由不允许在地下停车位安装新能源充电设施。”潘先生认为，这一说法不合理，他表示如果是考虑安全方面不许装，那此前已经安装的是不是要拆除？</w:t>
      </w:r>
    </w:p>
    <w:p w14:paraId="1115A4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像潘先生这样被物业拒绝安装充电桩的情况，在余江区并非个例。</w:t>
      </w:r>
    </w:p>
    <w:p w14:paraId="608497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居住在状元公馆小区的新能源车主宋先生告诉记者：“我们小区的物业工作人员说，如果要在地下车位安装充电设施应先去找属地社区盖章。当我拉着物业人员去了社区，社区工作人员却说，要区住建局、区消防大队同意后，社区才会盖章。”</w:t>
      </w:r>
    </w:p>
    <w:p w14:paraId="6AAF8E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相关部门来回推脱，让原本应该在“家门口”的充电桩遥不可及，车主们只好被迫奔波于城市各个停车场的公共充电桩之间。</w:t>
      </w:r>
    </w:p>
    <w:p w14:paraId="55599A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潘先生说：“在外面找充电桩存在两方面问题，一是浪费时间，如果充电一小时，我还得在车上或者附近等一小时；二是浪费钱，峰谷电价时，在家充电5毛多一度电，共享充电桩要近1元，差价近一倍。”</w:t>
      </w:r>
    </w:p>
    <w:p w14:paraId="6CD4A0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b/>
          <w:bCs/>
          <w:sz w:val="28"/>
          <w:szCs w:val="28"/>
        </w:rPr>
      </w:pPr>
      <w:r>
        <w:rPr>
          <w:rFonts w:hint="eastAsia" w:ascii="仿宋" w:hAnsi="仿宋" w:eastAsia="仿宋" w:cs="CESI仿宋-GB2312"/>
          <w:b/>
          <w:bCs/>
          <w:sz w:val="28"/>
          <w:szCs w:val="28"/>
        </w:rPr>
        <w:t>“有车无桩”，一纸“同意”背后的权责博弈</w:t>
      </w:r>
    </w:p>
    <w:p w14:paraId="590167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面对车主们的声声抱怨，小区物业却表示很无奈，他们也希望车主们生活更便利，但无论是属地社区还是余江区住建、消防、人防等部门，都在日常检查中叮嘱物业工作人员，要严格把控地下车位新能源充电桩的建设。</w:t>
      </w:r>
    </w:p>
    <w:p w14:paraId="76CD39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采访中，新能源车主认为，严格把控安全隐患无可厚非，但贵溪市、月湖区、信江新区等地并未限制在地下停车场安装充电桩，余江区却对此进行限制，这又是为何？</w:t>
      </w:r>
    </w:p>
    <w:p w14:paraId="4EA5E7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某小区物业负责人宋经理无奈道：“业主找我们盖章，我们都会盖，但是我们物业要报备到社区，社区说有消防隐患不同意。”宋经理表示，盖章容易，担责难。</w:t>
      </w:r>
    </w:p>
    <w:p w14:paraId="5FBEED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如果发生事故，需要小区物业承担相关责任。如此问责，让物业及相关部门形成了“与其冒险，不如一拒了之”的管理态度。</w:t>
      </w:r>
    </w:p>
    <w:p w14:paraId="00AC6B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记者了解到，4月3日，余江区相关部门就地下停车场加装汽车充电桩的问题，在“问政鹰潭”平台对网友们进行了回复，表示：“地下车位属公共场所，安装电动车充电桩存在消防安全隐患，影响居民人身财产安全，且需消防、住建等多个部门审核批准，目前，暂不允许安装充电桩。”</w:t>
      </w:r>
    </w:p>
    <w:p w14:paraId="4CF4E4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随后，记者从国网鹰潭供电公司了解到，对于自用桩采取的是申请承诺制管理，在《电动汽车自用桩安装承诺书》中也仅需电动汽车车主、电动汽车企业、充电基础设施建设企业以及物业公司四方签字承诺，无须其他部门审核批准。</w:t>
      </w:r>
    </w:p>
    <w:p w14:paraId="2A7D09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另外，余江区供电部门在了解到部分居民由于缺少物业（业委会或居委会）出具同意安装充电桩的证明材料，无法办理居民充电桩业务的情况后，主动向余江区相关部门领导提交了《关于居民自用充电桩报装中需要物业（居委会）同意出具施工许可的情况说明》，并表示，为了保障用户的合法权益和政策执行的一致性，希望区领导帮忙协调各个社区、街道，统一执行标准。</w:t>
      </w:r>
    </w:p>
    <w:p w14:paraId="39144B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记者还了解到，目前，贵溪市、月湖区、信江新区等并未限制在地下停车场安装充电桩，其中，月湖区发改委的一则政务动态就表示“我区个人新建自用充电设施无须备案。同时，全面推广‘三零’服务，即用电报装零上门、零审批、零投资，让群众享受到更加便捷的服务。”</w:t>
      </w:r>
    </w:p>
    <w:p w14:paraId="6CE3F2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</w:p>
    <w:p w14:paraId="6F3C51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</w:p>
    <w:p w14:paraId="0B2ADF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CESI仿宋-GB2312"/>
          <w:b/>
          <w:bCs/>
          <w:sz w:val="28"/>
          <w:szCs w:val="28"/>
        </w:rPr>
        <w:t>记者手记</w:t>
      </w:r>
      <w:r>
        <w:rPr>
          <w:rFonts w:hint="eastAsia" w:ascii="仿宋" w:hAnsi="仿宋" w:eastAsia="仿宋" w:cs="CESI仿宋-GB2312"/>
          <w:b/>
          <w:bCs/>
          <w:sz w:val="28"/>
          <w:szCs w:val="28"/>
          <w:lang w:eastAsia="zh-CN"/>
        </w:rPr>
        <w:t>：</w:t>
      </w:r>
    </w:p>
    <w:p w14:paraId="5F5744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安全生产事关人民福祉，事关经济社会发展大局。严格把控安全隐患本无可厚非，然而，安全不应成为管理的“挡箭牌”，而应是推动问题解决的“指南针”。面对地下车位安装充电桩的需求，简单粗暴地采取“一禁了之”的做法，是对安全管理的片面解读，更是对民生需求的消极回避。</w:t>
      </w:r>
    </w:p>
    <w:p w14:paraId="70A9C3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56" w:firstLineChars="200"/>
        <w:jc w:val="left"/>
        <w:textAlignment w:val="auto"/>
        <w:rPr>
          <w:rFonts w:hint="eastAsia" w:ascii="仿宋" w:hAnsi="仿宋" w:eastAsia="仿宋" w:cs="CESI仿宋-GB2312"/>
          <w:sz w:val="28"/>
          <w:szCs w:val="28"/>
        </w:rPr>
      </w:pPr>
      <w:r>
        <w:rPr>
          <w:rFonts w:hint="eastAsia" w:ascii="仿宋" w:hAnsi="仿宋" w:eastAsia="仿宋" w:cs="CESI仿宋-GB2312"/>
          <w:sz w:val="28"/>
          <w:szCs w:val="28"/>
        </w:rPr>
        <w:t>破解困局的关键在于构建动态治理体系，将“不能装”的刚性管控转化为“如何安全装”的服务导向。期待在各方努力下，“有车无桩”能早日得到解决，实现安全与需求兼顾。 　　</w:t>
      </w:r>
    </w:p>
    <w:p w14:paraId="5B230A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lang w:eastAsia="zh-CN"/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367BD"/>
    <w:rsid w:val="009677C3"/>
    <w:rsid w:val="009A23C7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5D7F"/>
    <w:rsid w:val="00BE5B19"/>
    <w:rsid w:val="00C05584"/>
    <w:rsid w:val="00C55055"/>
    <w:rsid w:val="00C738E3"/>
    <w:rsid w:val="00C86CF1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18F2E0D"/>
    <w:rsid w:val="01AC5715"/>
    <w:rsid w:val="0D8F7571"/>
    <w:rsid w:val="15182231"/>
    <w:rsid w:val="196B1CFB"/>
    <w:rsid w:val="198C2360"/>
    <w:rsid w:val="1AC5282E"/>
    <w:rsid w:val="1C6E71F1"/>
    <w:rsid w:val="1CD35ABE"/>
    <w:rsid w:val="1E3E3710"/>
    <w:rsid w:val="22A85759"/>
    <w:rsid w:val="2771651B"/>
    <w:rsid w:val="284063F2"/>
    <w:rsid w:val="2B054ECA"/>
    <w:rsid w:val="2CF47F19"/>
    <w:rsid w:val="2DFD1CC9"/>
    <w:rsid w:val="32055F0C"/>
    <w:rsid w:val="427A45C5"/>
    <w:rsid w:val="4A187736"/>
    <w:rsid w:val="58705151"/>
    <w:rsid w:val="58D72DD8"/>
    <w:rsid w:val="5B186FAF"/>
    <w:rsid w:val="5F235797"/>
    <w:rsid w:val="5F723633"/>
    <w:rsid w:val="5FFF227D"/>
    <w:rsid w:val="61471AB6"/>
    <w:rsid w:val="68351C3C"/>
    <w:rsid w:val="763C5788"/>
    <w:rsid w:val="7A0952CF"/>
    <w:rsid w:val="7DF7D57C"/>
    <w:rsid w:val="B76FFB00"/>
    <w:rsid w:val="BEFB5A28"/>
    <w:rsid w:val="FBEF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2681</Words>
  <Characters>2704</Characters>
  <Lines>64</Lines>
  <Paragraphs>76</Paragraphs>
  <TotalTime>6</TotalTime>
  <ScaleCrop>false</ScaleCrop>
  <LinksUpToDate>false</LinksUpToDate>
  <CharactersWithSpaces>2797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2024-01-22T15:11:00Z</dcterms:created>
  <dc:creator>听 林</dc:creator>
  <cp:lastModifiedBy>牧风</cp:lastModifiedBy>
  <cp:lastPrinted>2025-01-16T16:31:00Z</cp:lastPrinted>
  <dcterms:modified xsi:type="dcterms:W3CDTF">2026-01-18T09:00:22Z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eyJoZGlkIjoiMGQ1NzBhNzEzMzI3N2ZjOWU0YmEwZDk5NmZkMTkyYTMiLCJ1c2VySWQiOiIzMDc2NzE1OTcifQ==</vt:lpwstr>
  </property>
  <property fmtid="{D5CDD505-2E9C-101B-9397-08002B2CF9AE}" pid="3" name="KSOProductBuildVer">
    <vt:lpwstr>2052-12.8.2.1115</vt:lpwstr>
  </property>
  <property fmtid="{D5CDD505-2E9C-101B-9397-08002B2CF9AE}" pid="4" name="ICV">
    <vt:lpwstr>46CC00AB2716495C9081128840F9B6FA_13</vt:lpwstr>
  </property>
</Properties>
</file>